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1C96" w14:textId="7F492E29" w:rsidR="00F04D5D" w:rsidRPr="00D90484" w:rsidRDefault="0062092C">
      <w:pPr>
        <w:tabs>
          <w:tab w:val="center" w:pos="4536"/>
          <w:tab w:val="right" w:pos="8280"/>
          <w:tab w:val="right" w:pos="9639"/>
        </w:tabs>
        <w:spacing w:line="276" w:lineRule="auto"/>
        <w:ind w:right="2"/>
        <w:rPr>
          <w:rFonts w:ascii="Arial" w:eastAsia="Malgun Gothic" w:hAnsi="Arial" w:cs="Arial"/>
          <w:b/>
          <w:bCs/>
          <w:lang w:val="de-DE" w:eastAsia="en-US"/>
        </w:rPr>
      </w:pPr>
      <w:r w:rsidRPr="00D90484">
        <w:rPr>
          <w:rFonts w:ascii="Arial" w:eastAsia="Malgun Gothic" w:hAnsi="Arial" w:cs="Arial"/>
          <w:b/>
          <w:bCs/>
          <w:lang w:val="de-DE" w:eastAsia="en-US"/>
        </w:rPr>
        <w:t>3GPP TSG RAN WG1 #10</w:t>
      </w:r>
      <w:r w:rsidR="004E50F8">
        <w:rPr>
          <w:rFonts w:ascii="Arial" w:eastAsia="Malgun Gothic" w:hAnsi="Arial" w:cs="Arial"/>
          <w:b/>
          <w:bCs/>
          <w:lang w:val="de-DE" w:eastAsia="en-US"/>
        </w:rPr>
        <w:t>7</w:t>
      </w:r>
      <w:r w:rsidRPr="00D90484">
        <w:rPr>
          <w:rFonts w:ascii="Arial" w:eastAsia="MS Mincho" w:hAnsi="Arial" w:cs="Arial"/>
          <w:b/>
          <w:bCs/>
          <w:lang w:val="de-DE"/>
        </w:rPr>
        <w:t>bis</w:t>
      </w:r>
      <w:r w:rsidRPr="00D90484">
        <w:rPr>
          <w:rFonts w:ascii="Arial" w:eastAsia="Malgun Gothic" w:hAnsi="Arial" w:cs="Arial"/>
          <w:b/>
          <w:bCs/>
          <w:lang w:val="de-DE" w:eastAsia="en-US"/>
        </w:rPr>
        <w:t>-e</w:t>
      </w:r>
      <w:r w:rsidRPr="00D90484">
        <w:rPr>
          <w:rFonts w:ascii="Arial" w:eastAsia="Malgun Gothic" w:hAnsi="Arial" w:cs="Arial"/>
          <w:b/>
          <w:bCs/>
          <w:lang w:val="de-DE" w:eastAsia="en-US"/>
        </w:rPr>
        <w:tab/>
      </w:r>
      <w:r w:rsidRPr="00D90484">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Pr="00D90484">
        <w:rPr>
          <w:rFonts w:ascii="Arial" w:eastAsia="Malgun Gothic" w:hAnsi="Arial" w:cs="Arial"/>
          <w:b/>
          <w:bCs/>
          <w:lang w:val="de-DE" w:eastAsia="en-US"/>
        </w:rPr>
        <w:tab/>
      </w:r>
      <w:r w:rsidR="00F26D76" w:rsidRPr="00F26D76">
        <w:rPr>
          <w:rFonts w:ascii="Arial" w:eastAsia="MS Mincho" w:hAnsi="Arial" w:cs="Arial"/>
          <w:b/>
          <w:bCs/>
          <w:lang w:val="de-DE"/>
        </w:rPr>
        <w:t>R1-2</w:t>
      </w:r>
      <w:r w:rsidR="00DA0C10">
        <w:rPr>
          <w:rFonts w:ascii="Arial" w:eastAsia="MS Mincho" w:hAnsi="Arial" w:cs="Arial"/>
          <w:b/>
          <w:bCs/>
          <w:lang w:val="de-DE"/>
        </w:rPr>
        <w:t>200555</w:t>
      </w:r>
    </w:p>
    <w:p w14:paraId="42AE7445" w14:textId="3F635A21" w:rsidR="00F04D5D" w:rsidRDefault="00DA0C10">
      <w:pPr>
        <w:tabs>
          <w:tab w:val="center" w:pos="4536"/>
          <w:tab w:val="right" w:pos="9072"/>
        </w:tabs>
        <w:spacing w:line="276" w:lineRule="auto"/>
        <w:rPr>
          <w:rFonts w:ascii="Arial" w:eastAsia="Malgun Gothic" w:hAnsi="Arial" w:cs="Arial"/>
          <w:b/>
          <w:bCs/>
          <w:lang w:eastAsia="en-US"/>
        </w:rPr>
      </w:pPr>
      <w:proofErr w:type="gramStart"/>
      <w:r w:rsidRPr="00DA0C10">
        <w:rPr>
          <w:rFonts w:ascii="Arial" w:eastAsia="Malgun Gothic" w:hAnsi="Arial" w:cs="Arial"/>
          <w:b/>
          <w:bCs/>
          <w:lang w:val="en-US" w:eastAsia="en-US"/>
        </w:rPr>
        <w:t>e-Meeting</w:t>
      </w:r>
      <w:proofErr w:type="gramEnd"/>
      <w:r w:rsidRPr="00DA0C10">
        <w:rPr>
          <w:rFonts w:ascii="Arial" w:eastAsia="Malgun Gothic" w:hAnsi="Arial" w:cs="Arial"/>
          <w:b/>
          <w:bCs/>
          <w:lang w:val="en-US" w:eastAsia="en-US"/>
        </w:rPr>
        <w:t>, Jan 17th – Jan 25th, 2022</w:t>
      </w:r>
    </w:p>
    <w:p w14:paraId="39AF435F" w14:textId="77777777" w:rsidR="00F04D5D" w:rsidRDefault="00F04D5D">
      <w:pPr>
        <w:tabs>
          <w:tab w:val="center" w:pos="4536"/>
          <w:tab w:val="right" w:pos="9072"/>
        </w:tabs>
        <w:spacing w:line="276" w:lineRule="auto"/>
        <w:rPr>
          <w:rFonts w:ascii="Arial" w:eastAsia="Malgun Gothic" w:hAnsi="Arial" w:cs="Arial"/>
          <w:b/>
          <w:bCs/>
          <w:szCs w:val="24"/>
          <w:lang w:eastAsia="en-US"/>
        </w:rPr>
      </w:pPr>
    </w:p>
    <w:p w14:paraId="13B87838" w14:textId="4D377734" w:rsidR="00F04D5D" w:rsidRDefault="0062092C">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S Mincho" w:hAnsi="Arial" w:hint="eastAsia"/>
          <w:lang w:val="en-US"/>
        </w:rPr>
        <w:t>8</w:t>
      </w:r>
      <w:r>
        <w:rPr>
          <w:rFonts w:ascii="Arial" w:eastAsia="Malgun Gothic" w:hAnsi="Arial"/>
          <w:lang w:val="en-US" w:eastAsia="ko-KR"/>
        </w:rPr>
        <w:t>.1</w:t>
      </w:r>
      <w:r w:rsidR="00E1508A">
        <w:rPr>
          <w:rFonts w:ascii="Arial" w:eastAsia="Malgun Gothic" w:hAnsi="Arial"/>
          <w:lang w:val="en-US" w:eastAsia="ko-KR"/>
        </w:rPr>
        <w:t>6</w:t>
      </w:r>
      <w:r>
        <w:rPr>
          <w:rFonts w:ascii="Arial" w:eastAsiaTheme="minorEastAsia" w:hAnsi="Arial"/>
          <w:lang w:val="en-US"/>
        </w:rPr>
        <w:t>.8</w:t>
      </w:r>
    </w:p>
    <w:p w14:paraId="26E8B49E" w14:textId="12A6D8D4" w:rsidR="00F04D5D" w:rsidRDefault="0062092C">
      <w:pPr>
        <w:tabs>
          <w:tab w:val="left" w:pos="1985"/>
        </w:tabs>
        <w:spacing w:after="120" w:line="288" w:lineRule="auto"/>
        <w:ind w:left="2040" w:hangingChars="850" w:hanging="2040"/>
        <w:jc w:val="both"/>
        <w:rPr>
          <w:rFonts w:ascii="Arial" w:eastAsia="宋体"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proofErr w:type="spellStart"/>
      <w:r w:rsidR="004E50F8">
        <w:rPr>
          <w:rFonts w:ascii="Arial" w:eastAsia="Malgun Gothic" w:hAnsi="Arial"/>
          <w:bCs/>
          <w:lang w:val="en-US" w:eastAsia="en-US"/>
        </w:rPr>
        <w:t>MediaTek</w:t>
      </w:r>
      <w:proofErr w:type="spellEnd"/>
      <w:r w:rsidR="004E50F8">
        <w:rPr>
          <w:rFonts w:ascii="Arial" w:eastAsia="Malgun Gothic" w:hAnsi="Arial"/>
          <w:bCs/>
          <w:lang w:val="en-US" w:eastAsia="en-US"/>
        </w:rPr>
        <w:t xml:space="preserve"> Inc. </w:t>
      </w:r>
    </w:p>
    <w:p w14:paraId="4865D4AF" w14:textId="3ADF6506" w:rsidR="00F04D5D" w:rsidRDefault="0062092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4E50F8" w:rsidRPr="004E50F8">
        <w:rPr>
          <w:rFonts w:ascii="Arial" w:eastAsia="Malgun Gothic" w:hAnsi="Arial"/>
          <w:bCs/>
          <w:lang w:val="en-US" w:eastAsia="en-US"/>
        </w:rPr>
        <w:t xml:space="preserve">Discussion </w:t>
      </w:r>
      <w:r>
        <w:rPr>
          <w:rFonts w:ascii="Arial" w:eastAsia="Malgun Gothic" w:hAnsi="Arial"/>
          <w:bCs/>
          <w:lang w:val="en-US" w:eastAsia="en-US"/>
        </w:rPr>
        <w:t>on UE features for NR coverage enhancement</w:t>
      </w:r>
    </w:p>
    <w:p w14:paraId="059D1BC3" w14:textId="77777777" w:rsidR="00F04D5D" w:rsidRDefault="0062092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73EC7AD" w14:textId="77777777" w:rsidR="00F04D5D" w:rsidRDefault="0062092C">
      <w:pPr>
        <w:pStyle w:val="Heading1"/>
        <w:numPr>
          <w:ilvl w:val="0"/>
          <w:numId w:val="10"/>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013DB3E3" w14:textId="717C9111" w:rsidR="00F04D5D" w:rsidRDefault="0062092C">
      <w:pPr>
        <w:spacing w:afterLines="50" w:after="120"/>
        <w:jc w:val="both"/>
        <w:rPr>
          <w:rFonts w:eastAsia="MS Mincho"/>
          <w:sz w:val="22"/>
          <w:szCs w:val="22"/>
          <w:lang w:val="en-US"/>
        </w:rPr>
      </w:pPr>
      <w:r>
        <w:rPr>
          <w:rFonts w:eastAsia="MS Mincho"/>
          <w:sz w:val="22"/>
          <w:szCs w:val="22"/>
          <w:lang w:val="en-US"/>
        </w:rPr>
        <w:t xml:space="preserve">This document </w:t>
      </w:r>
      <w:r w:rsidR="004E50F8">
        <w:rPr>
          <w:rFonts w:eastAsia="MS Mincho"/>
          <w:sz w:val="22"/>
          <w:szCs w:val="22"/>
          <w:lang w:val="en-US"/>
        </w:rPr>
        <w:t>is to discuss the questions in FL summary for discussion in RAN1-10</w:t>
      </w:r>
      <w:r w:rsidR="008B567C">
        <w:rPr>
          <w:rFonts w:eastAsia="MS Mincho"/>
          <w:sz w:val="22"/>
          <w:szCs w:val="22"/>
          <w:lang w:val="en-US"/>
        </w:rPr>
        <w:t>7</w:t>
      </w:r>
      <w:r w:rsidR="004E50F8">
        <w:rPr>
          <w:rFonts w:eastAsia="MS Mincho"/>
          <w:sz w:val="22"/>
          <w:szCs w:val="22"/>
          <w:lang w:val="en-US"/>
        </w:rPr>
        <w:t xml:space="preserve">_e [1]. </w:t>
      </w:r>
    </w:p>
    <w:p w14:paraId="7B655024" w14:textId="77777777" w:rsidR="00F04D5D" w:rsidRDefault="00F04D5D">
      <w:pPr>
        <w:spacing w:afterLines="50" w:after="120"/>
        <w:jc w:val="both"/>
        <w:rPr>
          <w:b/>
          <w:bCs/>
          <w:sz w:val="22"/>
          <w:lang w:val="en-US"/>
        </w:rPr>
      </w:pPr>
    </w:p>
    <w:p w14:paraId="5A97CFA3" w14:textId="77777777" w:rsidR="001C3B49" w:rsidRDefault="001C3B49" w:rsidP="001C3B49">
      <w:pPr>
        <w:pStyle w:val="Heading1"/>
        <w:numPr>
          <w:ilvl w:val="0"/>
          <w:numId w:val="10"/>
        </w:numPr>
        <w:spacing w:before="180" w:after="120"/>
        <w:rPr>
          <w:rFonts w:eastAsia="MS Mincho"/>
          <w:b/>
          <w:bCs/>
          <w:szCs w:val="24"/>
        </w:rPr>
      </w:pPr>
      <w:r>
        <w:rPr>
          <w:rFonts w:eastAsia="MS Mincho"/>
          <w:b/>
          <w:bCs/>
          <w:szCs w:val="24"/>
        </w:rPr>
        <w:t>Overview on FGs for Coverage Enhancements</w:t>
      </w:r>
    </w:p>
    <w:p w14:paraId="2FC76FE6" w14:textId="5628EDDC" w:rsidR="00176552" w:rsidRDefault="00176552" w:rsidP="00176552">
      <w:r>
        <w:t>Considering the test cost</w:t>
      </w:r>
      <w:r w:rsidR="008B567C">
        <w:t xml:space="preserve"> and the </w:t>
      </w:r>
      <w:r>
        <w:t xml:space="preserve">applicability/support </w:t>
      </w:r>
      <w:r w:rsidR="008B567C">
        <w:t xml:space="preserve">of the </w:t>
      </w:r>
      <w:r>
        <w:t xml:space="preserve">band (e.g., licensed band and unlicensed band), </w:t>
      </w:r>
      <w:r w:rsidR="008B567C">
        <w:t>per band support is more preferred for all features.</w:t>
      </w:r>
    </w:p>
    <w:p w14:paraId="00C55C57" w14:textId="085C5884" w:rsidR="008B567C" w:rsidRPr="004A3C51" w:rsidRDefault="008B567C" w:rsidP="008B567C">
      <w:pPr>
        <w:pStyle w:val="Caption"/>
      </w:pPr>
      <w:r w:rsidRPr="004A3C51">
        <w:t xml:space="preserve">Proposal </w:t>
      </w:r>
      <w:r w:rsidRPr="004A3C51">
        <w:fldChar w:fldCharType="begin"/>
      </w:r>
      <w:r w:rsidRPr="004A3C51">
        <w:instrText xml:space="preserve"> SEQ Proposal \* ARABIC </w:instrText>
      </w:r>
      <w:r w:rsidRPr="004A3C51">
        <w:fldChar w:fldCharType="separate"/>
      </w:r>
      <w:r w:rsidR="00F3216C">
        <w:rPr>
          <w:noProof/>
        </w:rPr>
        <w:t>1</w:t>
      </w:r>
      <w:r w:rsidRPr="004A3C51">
        <w:fldChar w:fldCharType="end"/>
      </w:r>
      <w:r w:rsidRPr="004A3C51">
        <w:t xml:space="preserve">: </w:t>
      </w:r>
      <w:r>
        <w:t xml:space="preserve">All </w:t>
      </w:r>
      <w:r w:rsidRPr="004A3C51">
        <w:t>features</w:t>
      </w:r>
      <w:r>
        <w:t xml:space="preserve"> are per band.</w:t>
      </w:r>
    </w:p>
    <w:p w14:paraId="7A9ECDA4" w14:textId="5C2666B7" w:rsidR="008B567C" w:rsidRDefault="008B567C" w:rsidP="00176552">
      <w:r>
        <w:t>All features of coverage enhancements are to improve performance rather than the basic features to build a new function. All features should be optional with capability signalling.</w:t>
      </w:r>
    </w:p>
    <w:p w14:paraId="712DE2A2" w14:textId="77777777" w:rsidR="008B567C" w:rsidRPr="001C3B49" w:rsidRDefault="008B567C" w:rsidP="008B567C">
      <w:pPr>
        <w:pStyle w:val="Caption"/>
      </w:pPr>
      <w:r>
        <w:t xml:space="preserve">Proposal </w:t>
      </w:r>
      <w:r>
        <w:fldChar w:fldCharType="begin"/>
      </w:r>
      <w:r>
        <w:instrText xml:space="preserve"> SEQ Proposal \* ARABIC </w:instrText>
      </w:r>
      <w:r>
        <w:fldChar w:fldCharType="separate"/>
      </w:r>
      <w:r w:rsidR="00F3216C">
        <w:rPr>
          <w:noProof/>
        </w:rPr>
        <w:t>2</w:t>
      </w:r>
      <w:r>
        <w:fldChar w:fldCharType="end"/>
      </w:r>
      <w:r>
        <w:t>: All UE features are optional with capability signalling</w:t>
      </w:r>
    </w:p>
    <w:p w14:paraId="0D0581DA" w14:textId="4D57D8A7" w:rsidR="001C3B49" w:rsidRDefault="001C3B49" w:rsidP="001C3B49">
      <w:pPr>
        <w:pStyle w:val="Caption"/>
      </w:pPr>
      <w:r>
        <w:t xml:space="preserve">Proposal </w:t>
      </w:r>
      <w:r>
        <w:fldChar w:fldCharType="begin"/>
      </w:r>
      <w:r>
        <w:instrText xml:space="preserve"> SEQ Proposal \* ARABIC </w:instrText>
      </w:r>
      <w:r>
        <w:fldChar w:fldCharType="separate"/>
      </w:r>
      <w:r w:rsidR="00F3216C">
        <w:rPr>
          <w:noProof/>
        </w:rPr>
        <w:t>3</w:t>
      </w:r>
      <w:r>
        <w:fldChar w:fldCharType="end"/>
      </w:r>
      <w:r>
        <w:t>: For</w:t>
      </w:r>
      <w:r w:rsidR="00376575">
        <w:t xml:space="preserve"> increased maximum number of repetition</w:t>
      </w:r>
      <w:r w:rsidR="00DA0C10">
        <w:t>s</w:t>
      </w:r>
      <w:r w:rsidR="00376575">
        <w:t xml:space="preserve"> with FG 30-1/30-1a/30-2/30-2a, keep </w:t>
      </w:r>
      <w:r>
        <w:t>separated FGs for DG, CG Type 2 and CG Type 1 (if supported).</w:t>
      </w:r>
    </w:p>
    <w:p w14:paraId="27532F4F" w14:textId="5C0D4B7A" w:rsidR="001C3B49" w:rsidRDefault="001C3B49" w:rsidP="001C3B49">
      <w:pPr>
        <w:pStyle w:val="Caption"/>
      </w:pPr>
      <w:r>
        <w:t xml:space="preserve">Proposal </w:t>
      </w:r>
      <w:r>
        <w:fldChar w:fldCharType="begin"/>
      </w:r>
      <w:r>
        <w:instrText xml:space="preserve"> SEQ Proposal \* ARABIC </w:instrText>
      </w:r>
      <w:r>
        <w:fldChar w:fldCharType="separate"/>
      </w:r>
      <w:r w:rsidR="00F3216C">
        <w:rPr>
          <w:noProof/>
        </w:rPr>
        <w:t>4</w:t>
      </w:r>
      <w:r>
        <w:fldChar w:fldCharType="end"/>
      </w:r>
      <w:r>
        <w:t xml:space="preserve">: For </w:t>
      </w:r>
      <w:proofErr w:type="spellStart"/>
      <w:r>
        <w:t>TBoMS</w:t>
      </w:r>
      <w:proofErr w:type="spellEnd"/>
      <w:r w:rsidR="00376575">
        <w:t xml:space="preserve"> with FG 30-3</w:t>
      </w:r>
      <w:r>
        <w:t xml:space="preserve">, </w:t>
      </w:r>
      <w:r w:rsidR="00376575">
        <w:t xml:space="preserve">split </w:t>
      </w:r>
      <w:r>
        <w:t xml:space="preserve">FGs </w:t>
      </w:r>
      <w:r w:rsidR="00376575">
        <w:t xml:space="preserve">into 3 FGs: </w:t>
      </w:r>
      <w:r>
        <w:t>DG, CG Type 2 and CG Type 1 (if supported).</w:t>
      </w:r>
    </w:p>
    <w:p w14:paraId="772E22F5" w14:textId="18314B0F" w:rsidR="001C3B49" w:rsidRDefault="001C3B49" w:rsidP="001C3B49">
      <w:pPr>
        <w:pStyle w:val="Caption"/>
      </w:pPr>
      <w:r>
        <w:t xml:space="preserve">Proposal </w:t>
      </w:r>
      <w:r>
        <w:fldChar w:fldCharType="begin"/>
      </w:r>
      <w:r>
        <w:instrText xml:space="preserve"> SEQ Proposal \* ARABIC </w:instrText>
      </w:r>
      <w:r>
        <w:fldChar w:fldCharType="separate"/>
      </w:r>
      <w:r w:rsidR="00F3216C">
        <w:rPr>
          <w:noProof/>
        </w:rPr>
        <w:t>5</w:t>
      </w:r>
      <w:r>
        <w:fldChar w:fldCharType="end"/>
      </w:r>
      <w:r>
        <w:t>: For DMRS bundling</w:t>
      </w:r>
      <w:r w:rsidR="00376575">
        <w:t xml:space="preserve"> with 30-4 to 30-4d,</w:t>
      </w:r>
      <w:r>
        <w:t xml:space="preserve"> </w:t>
      </w:r>
      <w:r w:rsidR="00376575">
        <w:t xml:space="preserve">split FG into two </w:t>
      </w:r>
      <w:r>
        <w:t>FGs</w:t>
      </w:r>
      <w:r w:rsidR="00376575">
        <w:rPr>
          <w:rFonts w:ascii="宋体" w:eastAsia="宋体" w:hAnsi="宋体" w:hint="eastAsia"/>
          <w:lang w:eastAsia="zh-CN"/>
        </w:rPr>
        <w:t>:</w:t>
      </w:r>
      <w:r w:rsidR="00376575">
        <w:rPr>
          <w:rFonts w:ascii="宋体" w:eastAsia="宋体" w:hAnsi="宋体"/>
          <w:lang w:eastAsia="zh-CN"/>
        </w:rPr>
        <w:t xml:space="preserve"> one</w:t>
      </w:r>
      <w:r>
        <w:t xml:space="preserve"> for </w:t>
      </w:r>
      <w:r w:rsidRPr="001C3B49">
        <w:t xml:space="preserve">B2B </w:t>
      </w:r>
      <w:r w:rsidR="00376575">
        <w:t>and</w:t>
      </w:r>
      <w:r w:rsidR="00376575">
        <w:rPr>
          <w:rFonts w:eastAsia="宋体" w:hint="eastAsia"/>
          <w:lang w:eastAsia="zh-CN"/>
        </w:rPr>
        <w:t xml:space="preserve"> </w:t>
      </w:r>
      <w:r w:rsidR="00376575">
        <w:rPr>
          <w:rFonts w:eastAsia="宋体"/>
          <w:lang w:eastAsia="zh-CN"/>
        </w:rPr>
        <w:t xml:space="preserve">the other for non-B2B </w:t>
      </w:r>
      <w:r>
        <w:t xml:space="preserve">transmissions. </w:t>
      </w:r>
    </w:p>
    <w:p w14:paraId="101AF86D" w14:textId="74B2E36A" w:rsidR="00376575" w:rsidRDefault="00376575" w:rsidP="00376575">
      <w:pPr>
        <w:pStyle w:val="Caption"/>
      </w:pPr>
      <w:r>
        <w:t xml:space="preserve">Proposal </w:t>
      </w:r>
      <w:r>
        <w:fldChar w:fldCharType="begin"/>
      </w:r>
      <w:r>
        <w:instrText xml:space="preserve"> SEQ Proposal \* ARABIC </w:instrText>
      </w:r>
      <w:r>
        <w:fldChar w:fldCharType="separate"/>
      </w:r>
      <w:r w:rsidR="00F3216C">
        <w:rPr>
          <w:noProof/>
        </w:rPr>
        <w:t>6</w:t>
      </w:r>
      <w:r>
        <w:fldChar w:fldCharType="end"/>
      </w:r>
      <w:r>
        <w:t xml:space="preserve">: For DMRS bundling with 30-4b, split FG into two FGs: one for </w:t>
      </w:r>
      <w:r w:rsidRPr="00376575">
        <w:t xml:space="preserve">within-slot </w:t>
      </w:r>
      <w:r>
        <w:t>B2B</w:t>
      </w:r>
      <w:r w:rsidRPr="00376575">
        <w:t xml:space="preserve"> and</w:t>
      </w:r>
      <w:r>
        <w:t xml:space="preserve"> the other for </w:t>
      </w:r>
      <w:proofErr w:type="spellStart"/>
      <w:r w:rsidRPr="00376575">
        <w:t>across</w:t>
      </w:r>
      <w:proofErr w:type="spellEnd"/>
      <w:r w:rsidRPr="00376575">
        <w:t xml:space="preserve">-slot </w:t>
      </w:r>
      <w:r>
        <w:t xml:space="preserve">B2B. </w:t>
      </w:r>
    </w:p>
    <w:p w14:paraId="2069E57A" w14:textId="77777777" w:rsidR="00376575" w:rsidRDefault="00376575" w:rsidP="00376575">
      <w:pPr>
        <w:pStyle w:val="Caption"/>
      </w:pPr>
      <w:r>
        <w:t xml:space="preserve">Proposal </w:t>
      </w:r>
      <w:r>
        <w:fldChar w:fldCharType="begin"/>
      </w:r>
      <w:r>
        <w:instrText xml:space="preserve"> SEQ Proposal \* ARABIC </w:instrText>
      </w:r>
      <w:r>
        <w:fldChar w:fldCharType="separate"/>
      </w:r>
      <w:r w:rsidR="00F3216C">
        <w:rPr>
          <w:noProof/>
        </w:rPr>
        <w:t>7</w:t>
      </w:r>
      <w:r>
        <w:fldChar w:fldCharType="end"/>
      </w:r>
      <w:r>
        <w:t>: For DMRS bundling with 30-4e and 30-4f, keep separated FGs for PUSCH and PUCCH enhancements.</w:t>
      </w:r>
    </w:p>
    <w:p w14:paraId="341FC1C8" w14:textId="389C0452" w:rsidR="00F3216C" w:rsidRDefault="00F3216C" w:rsidP="00F3216C">
      <w:r>
        <w:t>Considering the UE implementation with potential different support of DMRS bundling for FDD and TDD due to the use case of the coverage enhancement and the additional complexity for TDD case w/ more events and non-consecutive slots, it is suggested to have TDD/FDD differentiation for FG 30-4 to 30-4f.</w:t>
      </w:r>
    </w:p>
    <w:p w14:paraId="1EFFDD61" w14:textId="3F28C897" w:rsidR="00F3216C" w:rsidRDefault="00F3216C" w:rsidP="00F3216C">
      <w:pPr>
        <w:pStyle w:val="Caption"/>
      </w:pPr>
      <w:r>
        <w:t xml:space="preserve">Proposal </w:t>
      </w:r>
      <w:r>
        <w:fldChar w:fldCharType="begin"/>
      </w:r>
      <w:r>
        <w:instrText xml:space="preserve"> SEQ Proposal \* ARABIC </w:instrText>
      </w:r>
      <w:r>
        <w:fldChar w:fldCharType="separate"/>
      </w:r>
      <w:r>
        <w:rPr>
          <w:noProof/>
        </w:rPr>
        <w:t>8</w:t>
      </w:r>
      <w:r>
        <w:fldChar w:fldCharType="end"/>
      </w:r>
      <w:r>
        <w:t xml:space="preserve">: For DMRS bundling with 30-4 and 30-4f, </w:t>
      </w:r>
      <w:r>
        <w:t xml:space="preserve">TDD/FDD differentiation is supported. </w:t>
      </w:r>
    </w:p>
    <w:p w14:paraId="1B294F10" w14:textId="7EE2C7B7" w:rsidR="008B567C" w:rsidRDefault="008B567C" w:rsidP="00B11D35">
      <w:pPr>
        <w:jc w:val="both"/>
      </w:pPr>
      <w:r>
        <w:t xml:space="preserve">From UE implementation, PUCCH formats 0/2 repetition for URLLC and PUCCH format 1/3/4 for </w:t>
      </w:r>
      <w:proofErr w:type="spellStart"/>
      <w:r>
        <w:t>CovEnh</w:t>
      </w:r>
      <w:proofErr w:type="spellEnd"/>
      <w:r>
        <w:t xml:space="preserve"> are different features targeting the different use cases and device types. Moreover, PUCCH Format 1/3/4 dynamic repetition and PUCCH format 0/2 repetition </w:t>
      </w:r>
      <w:r w:rsidR="00B11D35">
        <w:t xml:space="preserve">also </w:t>
      </w:r>
      <w:r>
        <w:t>have the different prerequisite features. Merging them as one feature will also cause the additional testing cost and implementation complexity for the UE which is targeting to support only one of the features</w:t>
      </w:r>
      <w:r w:rsidR="00B11D35">
        <w:t xml:space="preserve"> or device types</w:t>
      </w:r>
      <w:r>
        <w:t>.</w:t>
      </w:r>
    </w:p>
    <w:p w14:paraId="7E5810FD" w14:textId="77777777" w:rsidR="00B11D35" w:rsidRDefault="00B11D35" w:rsidP="008B567C"/>
    <w:p w14:paraId="5C99B9DD" w14:textId="737D6E8B" w:rsidR="008B567C" w:rsidRPr="008B567C" w:rsidRDefault="008B567C" w:rsidP="00B11D35">
      <w:pPr>
        <w:jc w:val="both"/>
      </w:pPr>
      <w:r>
        <w:t>Whether to have the separated features is dependent on whether they have the different use cases/scenarios.</w:t>
      </w:r>
      <w:r w:rsidR="00B11D35">
        <w:t xml:space="preserve"> </w:t>
      </w:r>
      <w:r w:rsidR="00B11D35" w:rsidRPr="00B11D35">
        <w:t xml:space="preserve">This is about essential on how to define FGs. At least, FG should be defined according to the use case/scenarios, i.e., whether the device needs to support the different use cases simultaneously. Clearly, </w:t>
      </w:r>
      <w:proofErr w:type="spellStart"/>
      <w:r w:rsidR="00B11D35" w:rsidRPr="00B11D35">
        <w:t>CovEnh</w:t>
      </w:r>
      <w:proofErr w:type="spellEnd"/>
      <w:r w:rsidR="00B11D35" w:rsidRPr="00B11D35">
        <w:t xml:space="preserve"> and URLLC are quite different use cases and scenarios. There is no need for the device to support them simultaneously. Otherwise, it will increase the unnecessary implementation complexity and the testing cost. We should split them considering the use cases/scenarios, unnecessary UE complexity/cost.</w:t>
      </w:r>
    </w:p>
    <w:p w14:paraId="5E1F6A4F" w14:textId="4DACE869" w:rsidR="001C3B49" w:rsidRDefault="001C3B49" w:rsidP="001C3B49">
      <w:pPr>
        <w:pStyle w:val="Caption"/>
      </w:pPr>
      <w:r>
        <w:t xml:space="preserve">Proposal </w:t>
      </w:r>
      <w:r>
        <w:fldChar w:fldCharType="begin"/>
      </w:r>
      <w:r>
        <w:instrText xml:space="preserve"> SEQ Proposal \* ARABIC </w:instrText>
      </w:r>
      <w:r>
        <w:fldChar w:fldCharType="separate"/>
      </w:r>
      <w:r w:rsidR="00F3216C">
        <w:rPr>
          <w:noProof/>
        </w:rPr>
        <w:t>9</w:t>
      </w:r>
      <w:r>
        <w:fldChar w:fldCharType="end"/>
      </w:r>
      <w:r>
        <w:t xml:space="preserve">: For </w:t>
      </w:r>
      <w:r w:rsidR="00B11D35">
        <w:t xml:space="preserve">30-5, </w:t>
      </w:r>
      <w:r w:rsidR="00B11D35" w:rsidRPr="00B11D35">
        <w:t>split FG 30-5 into 2 FGs</w:t>
      </w:r>
      <w:r w:rsidR="00F3216C">
        <w:t>:</w:t>
      </w:r>
      <w:bookmarkStart w:id="2" w:name="_GoBack"/>
      <w:bookmarkEnd w:id="2"/>
      <w:r w:rsidR="00B11D35" w:rsidRPr="00B11D35">
        <w:t xml:space="preserve"> one for PUCCH forma</w:t>
      </w:r>
      <w:r w:rsidR="00B11D35">
        <w:t xml:space="preserve">ts 0/2 with </w:t>
      </w:r>
      <w:r w:rsidR="00B11D35" w:rsidRPr="00B11D35">
        <w:t xml:space="preserve">prerequisite </w:t>
      </w:r>
      <w:r w:rsidR="00B11D35">
        <w:t>FG 25</w:t>
      </w:r>
      <w:r w:rsidR="00B11D35">
        <w:rPr>
          <w:rFonts w:ascii="宋体" w:eastAsia="宋体" w:hAnsi="宋体" w:hint="eastAsia"/>
          <w:lang w:eastAsia="zh-CN"/>
        </w:rPr>
        <w:t>-</w:t>
      </w:r>
      <w:r w:rsidR="00B11D35">
        <w:t xml:space="preserve">2 </w:t>
      </w:r>
      <w:r w:rsidR="00B11D35" w:rsidRPr="00B11D35">
        <w:t>and the other for PUCCH formats 1/3/</w:t>
      </w:r>
      <w:r w:rsidR="00B11D35">
        <w:t xml:space="preserve">4 with </w:t>
      </w:r>
      <w:r w:rsidR="00B11D35" w:rsidRPr="00B11D35">
        <w:t>prerequisite</w:t>
      </w:r>
      <w:r w:rsidR="00B11D35">
        <w:t xml:space="preserve"> FG 4</w:t>
      </w:r>
      <w:r w:rsidR="00B11D35">
        <w:rPr>
          <w:rFonts w:ascii="宋体" w:eastAsia="宋体" w:hAnsi="宋体" w:hint="eastAsia"/>
          <w:lang w:eastAsia="zh-CN"/>
        </w:rPr>
        <w:t>-</w:t>
      </w:r>
      <w:r w:rsidR="00B11D35">
        <w:rPr>
          <w:rFonts w:ascii="宋体" w:eastAsia="宋体" w:hAnsi="宋体"/>
          <w:lang w:eastAsia="zh-CN"/>
        </w:rPr>
        <w:t>23</w:t>
      </w:r>
    </w:p>
    <w:p w14:paraId="08244DCE" w14:textId="77777777" w:rsidR="00F04D5D" w:rsidRDefault="00F04D5D">
      <w:pPr>
        <w:spacing w:afterLines="50" w:after="120"/>
        <w:jc w:val="both"/>
        <w:rPr>
          <w:sz w:val="22"/>
        </w:rPr>
      </w:pPr>
    </w:p>
    <w:p w14:paraId="73C997BF" w14:textId="77777777" w:rsidR="00F04D5D" w:rsidRDefault="00F04D5D">
      <w:pPr>
        <w:spacing w:afterLines="50" w:after="120"/>
        <w:jc w:val="both"/>
        <w:rPr>
          <w:sz w:val="22"/>
        </w:rPr>
      </w:pPr>
    </w:p>
    <w:p w14:paraId="2FA06C34" w14:textId="77777777" w:rsidR="00F04D5D" w:rsidRDefault="0062092C">
      <w:pPr>
        <w:pStyle w:val="Heading1"/>
        <w:spacing w:before="180" w:after="120"/>
        <w:rPr>
          <w:rFonts w:eastAsia="MS Mincho"/>
          <w:b/>
          <w:bCs/>
          <w:szCs w:val="24"/>
          <w:lang w:val="en-US"/>
        </w:rPr>
      </w:pPr>
      <w:r>
        <w:rPr>
          <w:rFonts w:eastAsia="MS Mincho"/>
          <w:b/>
          <w:bCs/>
          <w:szCs w:val="24"/>
          <w:lang w:val="en-US"/>
        </w:rPr>
        <w:t>References</w:t>
      </w:r>
    </w:p>
    <w:p w14:paraId="36D37DA8" w14:textId="1A887AE3" w:rsidR="004E50F8" w:rsidRDefault="0062092C">
      <w:pPr>
        <w:spacing w:afterLines="50" w:after="120"/>
        <w:jc w:val="both"/>
        <w:rPr>
          <w:rFonts w:eastAsia="MS Mincho"/>
          <w:sz w:val="22"/>
        </w:rPr>
      </w:pPr>
      <w:r>
        <w:rPr>
          <w:rFonts w:eastAsia="MS Mincho" w:hint="eastAsia"/>
          <w:sz w:val="22"/>
        </w:rPr>
        <w:t>[</w:t>
      </w:r>
      <w:r w:rsidR="008B567C">
        <w:rPr>
          <w:rFonts w:eastAsia="MS Mincho"/>
          <w:sz w:val="22"/>
        </w:rPr>
        <w:t>1</w:t>
      </w:r>
      <w:r>
        <w:rPr>
          <w:rFonts w:eastAsia="MS Mincho" w:hint="eastAsia"/>
          <w:sz w:val="22"/>
        </w:rPr>
        <w:t>]</w:t>
      </w:r>
      <w:r>
        <w:rPr>
          <w:rFonts w:eastAsia="MS Mincho"/>
          <w:sz w:val="22"/>
        </w:rPr>
        <w:tab/>
      </w:r>
      <w:r w:rsidR="008B567C" w:rsidRPr="008B567C">
        <w:rPr>
          <w:rFonts w:eastAsia="MS Mincho"/>
          <w:sz w:val="22"/>
        </w:rPr>
        <w:t>R1-2112141</w:t>
      </w:r>
      <w:r>
        <w:rPr>
          <w:rFonts w:eastAsia="MS Mincho"/>
          <w:sz w:val="22"/>
        </w:rPr>
        <w:tab/>
      </w:r>
      <w:r w:rsidR="004E50F8" w:rsidRPr="004E50F8">
        <w:rPr>
          <w:rFonts w:eastAsia="MS Mincho"/>
          <w:sz w:val="22"/>
        </w:rPr>
        <w:t xml:space="preserve">Summary on UE features for NR coverage enhancement </w:t>
      </w:r>
    </w:p>
    <w:sectPr w:rsidR="004E50F8">
      <w:footerReference w:type="default" r:id="rId1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41D16" w14:textId="77777777" w:rsidR="005E31D9" w:rsidRDefault="005E31D9">
      <w:r>
        <w:separator/>
      </w:r>
    </w:p>
  </w:endnote>
  <w:endnote w:type="continuationSeparator" w:id="0">
    <w:p w14:paraId="1F311B76" w14:textId="77777777" w:rsidR="005E31D9" w:rsidRDefault="005E31D9">
      <w:r>
        <w:continuationSeparator/>
      </w:r>
    </w:p>
  </w:endnote>
  <w:endnote w:type="continuationNotice" w:id="1">
    <w:p w14:paraId="5B01B094" w14:textId="77777777" w:rsidR="005E31D9" w:rsidRDefault="005E3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8A01E" w14:textId="534D0B8E" w:rsidR="00AA1F43" w:rsidRDefault="00AA1F4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F3216C">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F3216C">
      <w:rPr>
        <w:rStyle w:val="PageNumber"/>
        <w:rFonts w:eastAsia="MS Gothic"/>
        <w:noProof/>
      </w:rPr>
      <w:t>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C1814" w14:textId="77777777" w:rsidR="005E31D9" w:rsidRDefault="005E31D9">
      <w:r>
        <w:separator/>
      </w:r>
    </w:p>
  </w:footnote>
  <w:footnote w:type="continuationSeparator" w:id="0">
    <w:p w14:paraId="64199AFA" w14:textId="77777777" w:rsidR="005E31D9" w:rsidRDefault="005E31D9">
      <w:r>
        <w:continuationSeparator/>
      </w:r>
    </w:p>
  </w:footnote>
  <w:footnote w:type="continuationNotice" w:id="1">
    <w:p w14:paraId="5AA8AD17" w14:textId="77777777" w:rsidR="005E31D9" w:rsidRDefault="005E31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CF0F4E"/>
    <w:multiLevelType w:val="hybridMultilevel"/>
    <w:tmpl w:val="962815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F74C70"/>
    <w:multiLevelType w:val="multilevel"/>
    <w:tmpl w:val="28F7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BD49D8"/>
    <w:multiLevelType w:val="multilevel"/>
    <w:tmpl w:val="39BD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B33F5C"/>
    <w:multiLevelType w:val="hybridMultilevel"/>
    <w:tmpl w:val="F410A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6" w15:restartNumberingAfterBreak="0">
    <w:nsid w:val="4B785A29"/>
    <w:multiLevelType w:val="singleLevel"/>
    <w:tmpl w:val="4B785A29"/>
    <w:lvl w:ilvl="0">
      <w:start w:val="1"/>
      <w:numFmt w:val="bullet"/>
      <w:lvlText w:val=""/>
      <w:lvlJc w:val="left"/>
      <w:pPr>
        <w:ind w:left="420" w:hanging="420"/>
      </w:pPr>
      <w:rPr>
        <w:rFonts w:ascii="Wingdings" w:hAnsi="Wingdings" w:hint="default"/>
      </w:rPr>
    </w:lvl>
  </w:abstractNum>
  <w:abstractNum w:abstractNumId="1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E46DFA"/>
    <w:multiLevelType w:val="multilevel"/>
    <w:tmpl w:val="4DE46DF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015A3F"/>
    <w:multiLevelType w:val="multilevel"/>
    <w:tmpl w:val="12FC9E5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6F443F"/>
    <w:multiLevelType w:val="multilevel"/>
    <w:tmpl w:val="606F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742400"/>
    <w:multiLevelType w:val="multilevel"/>
    <w:tmpl w:val="63742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681749"/>
    <w:multiLevelType w:val="multilevel"/>
    <w:tmpl w:val="7468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26"/>
  </w:num>
  <w:num w:numId="4">
    <w:abstractNumId w:val="30"/>
  </w:num>
  <w:num w:numId="5">
    <w:abstractNumId w:val="4"/>
  </w:num>
  <w:num w:numId="6">
    <w:abstractNumId w:val="9"/>
  </w:num>
  <w:num w:numId="7">
    <w:abstractNumId w:val="20"/>
  </w:num>
  <w:num w:numId="8">
    <w:abstractNumId w:val="11"/>
  </w:num>
  <w:num w:numId="9">
    <w:abstractNumId w:val="6"/>
  </w:num>
  <w:num w:numId="10">
    <w:abstractNumId w:val="22"/>
  </w:num>
  <w:num w:numId="11">
    <w:abstractNumId w:val="13"/>
  </w:num>
  <w:num w:numId="12">
    <w:abstractNumId w:val="17"/>
  </w:num>
  <w:num w:numId="13">
    <w:abstractNumId w:val="27"/>
  </w:num>
  <w:num w:numId="14">
    <w:abstractNumId w:val="12"/>
  </w:num>
  <w:num w:numId="15">
    <w:abstractNumId w:val="24"/>
  </w:num>
  <w:num w:numId="16">
    <w:abstractNumId w:val="28"/>
  </w:num>
  <w:num w:numId="17">
    <w:abstractNumId w:val="3"/>
  </w:num>
  <w:num w:numId="18">
    <w:abstractNumId w:val="19"/>
  </w:num>
  <w:num w:numId="19">
    <w:abstractNumId w:val="0"/>
  </w:num>
  <w:num w:numId="20">
    <w:abstractNumId w:val="29"/>
  </w:num>
  <w:num w:numId="21">
    <w:abstractNumId w:val="8"/>
  </w:num>
  <w:num w:numId="22">
    <w:abstractNumId w:val="10"/>
  </w:num>
  <w:num w:numId="23">
    <w:abstractNumId w:val="25"/>
  </w:num>
  <w:num w:numId="24">
    <w:abstractNumId w:val="15"/>
  </w:num>
  <w:num w:numId="25">
    <w:abstractNumId w:val="5"/>
  </w:num>
  <w:num w:numId="26">
    <w:abstractNumId w:val="1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1"/>
  </w:num>
  <w:num w:numId="30">
    <w:abstractNumId w:val="1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11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B5"/>
    <w:rsid w:val="0002083F"/>
    <w:rsid w:val="000208F2"/>
    <w:rsid w:val="00020C0C"/>
    <w:rsid w:val="00020D76"/>
    <w:rsid w:val="000213DD"/>
    <w:rsid w:val="00021545"/>
    <w:rsid w:val="0002167E"/>
    <w:rsid w:val="000216F1"/>
    <w:rsid w:val="000218BF"/>
    <w:rsid w:val="00021954"/>
    <w:rsid w:val="000219CD"/>
    <w:rsid w:val="00021AF7"/>
    <w:rsid w:val="00021B57"/>
    <w:rsid w:val="000223D0"/>
    <w:rsid w:val="00022ADA"/>
    <w:rsid w:val="00022E12"/>
    <w:rsid w:val="00022FFF"/>
    <w:rsid w:val="000233B7"/>
    <w:rsid w:val="00023917"/>
    <w:rsid w:val="00023C8B"/>
    <w:rsid w:val="00024132"/>
    <w:rsid w:val="000243FB"/>
    <w:rsid w:val="00024474"/>
    <w:rsid w:val="0002447B"/>
    <w:rsid w:val="0002461A"/>
    <w:rsid w:val="0002502E"/>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05C"/>
    <w:rsid w:val="000644A1"/>
    <w:rsid w:val="00065638"/>
    <w:rsid w:val="00065E11"/>
    <w:rsid w:val="0006602B"/>
    <w:rsid w:val="0006633D"/>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33"/>
    <w:rsid w:val="00071BE3"/>
    <w:rsid w:val="00071D02"/>
    <w:rsid w:val="00071D9C"/>
    <w:rsid w:val="00071E73"/>
    <w:rsid w:val="0007200D"/>
    <w:rsid w:val="0007228C"/>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A51"/>
    <w:rsid w:val="00076B47"/>
    <w:rsid w:val="000779A9"/>
    <w:rsid w:val="00077FFC"/>
    <w:rsid w:val="00080392"/>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306"/>
    <w:rsid w:val="00083382"/>
    <w:rsid w:val="000834F3"/>
    <w:rsid w:val="0008390F"/>
    <w:rsid w:val="00083ABE"/>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6EB"/>
    <w:rsid w:val="000B1BDB"/>
    <w:rsid w:val="000B244F"/>
    <w:rsid w:val="000B28E2"/>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2F40"/>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509"/>
    <w:rsid w:val="000D6548"/>
    <w:rsid w:val="000D6A3F"/>
    <w:rsid w:val="000D6B81"/>
    <w:rsid w:val="000D6FD8"/>
    <w:rsid w:val="000D7545"/>
    <w:rsid w:val="000D7C12"/>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0"/>
    <w:rsid w:val="00100391"/>
    <w:rsid w:val="001005A9"/>
    <w:rsid w:val="00100728"/>
    <w:rsid w:val="00100937"/>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41B"/>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5C2"/>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0E45"/>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CF5"/>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6B8"/>
    <w:rsid w:val="001751EB"/>
    <w:rsid w:val="00175255"/>
    <w:rsid w:val="0017542B"/>
    <w:rsid w:val="00175625"/>
    <w:rsid w:val="001759C3"/>
    <w:rsid w:val="00175ED6"/>
    <w:rsid w:val="00175F7A"/>
    <w:rsid w:val="0017600C"/>
    <w:rsid w:val="00176222"/>
    <w:rsid w:val="001762A8"/>
    <w:rsid w:val="001762A9"/>
    <w:rsid w:val="00176552"/>
    <w:rsid w:val="001765A8"/>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4"/>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5CE2"/>
    <w:rsid w:val="00195F03"/>
    <w:rsid w:val="00195FE8"/>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47F"/>
    <w:rsid w:val="001A2590"/>
    <w:rsid w:val="001A2879"/>
    <w:rsid w:val="001A2C21"/>
    <w:rsid w:val="001A2C68"/>
    <w:rsid w:val="001A2DE5"/>
    <w:rsid w:val="001A2EE5"/>
    <w:rsid w:val="001A2F38"/>
    <w:rsid w:val="001A311E"/>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7E8"/>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B49"/>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37D"/>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039"/>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87"/>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C5B"/>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5D3D"/>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195"/>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498"/>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E03"/>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5B7"/>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5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402"/>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41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9F2"/>
    <w:rsid w:val="002C7C8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CDF"/>
    <w:rsid w:val="002E1EB1"/>
    <w:rsid w:val="002E20A1"/>
    <w:rsid w:val="002E23F2"/>
    <w:rsid w:val="002E247C"/>
    <w:rsid w:val="002E2813"/>
    <w:rsid w:val="002E297B"/>
    <w:rsid w:val="002E29D4"/>
    <w:rsid w:val="002E2C71"/>
    <w:rsid w:val="002E3480"/>
    <w:rsid w:val="002E3AF8"/>
    <w:rsid w:val="002E4214"/>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955"/>
    <w:rsid w:val="003004D5"/>
    <w:rsid w:val="00300993"/>
    <w:rsid w:val="00300994"/>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53"/>
    <w:rsid w:val="00306094"/>
    <w:rsid w:val="00306292"/>
    <w:rsid w:val="00306500"/>
    <w:rsid w:val="003070E4"/>
    <w:rsid w:val="003072BE"/>
    <w:rsid w:val="003073D5"/>
    <w:rsid w:val="003075B3"/>
    <w:rsid w:val="00307700"/>
    <w:rsid w:val="0030782D"/>
    <w:rsid w:val="00307BCE"/>
    <w:rsid w:val="003103BD"/>
    <w:rsid w:val="00310CB5"/>
    <w:rsid w:val="00311652"/>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C13"/>
    <w:rsid w:val="00330F77"/>
    <w:rsid w:val="00331351"/>
    <w:rsid w:val="00331413"/>
    <w:rsid w:val="0033191F"/>
    <w:rsid w:val="00331A49"/>
    <w:rsid w:val="00331C24"/>
    <w:rsid w:val="00331C67"/>
    <w:rsid w:val="00331EFF"/>
    <w:rsid w:val="003322CE"/>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6A7"/>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73"/>
    <w:rsid w:val="00373B32"/>
    <w:rsid w:val="00373E7F"/>
    <w:rsid w:val="003745DC"/>
    <w:rsid w:val="003745E4"/>
    <w:rsid w:val="003746A1"/>
    <w:rsid w:val="00374A8B"/>
    <w:rsid w:val="00374DB6"/>
    <w:rsid w:val="00374F49"/>
    <w:rsid w:val="003755A6"/>
    <w:rsid w:val="00375707"/>
    <w:rsid w:val="00375872"/>
    <w:rsid w:val="003760DD"/>
    <w:rsid w:val="00376123"/>
    <w:rsid w:val="00376575"/>
    <w:rsid w:val="0037676D"/>
    <w:rsid w:val="00376A26"/>
    <w:rsid w:val="00376EBF"/>
    <w:rsid w:val="00376FA8"/>
    <w:rsid w:val="003773B9"/>
    <w:rsid w:val="0037742E"/>
    <w:rsid w:val="00377597"/>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3F57"/>
    <w:rsid w:val="00384623"/>
    <w:rsid w:val="0038465F"/>
    <w:rsid w:val="00384846"/>
    <w:rsid w:val="00384ABA"/>
    <w:rsid w:val="00384B61"/>
    <w:rsid w:val="00384D66"/>
    <w:rsid w:val="003852D6"/>
    <w:rsid w:val="00385584"/>
    <w:rsid w:val="00385675"/>
    <w:rsid w:val="00385C2F"/>
    <w:rsid w:val="00386062"/>
    <w:rsid w:val="003860AA"/>
    <w:rsid w:val="003861E5"/>
    <w:rsid w:val="00386457"/>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842"/>
    <w:rsid w:val="0039187C"/>
    <w:rsid w:val="003918DD"/>
    <w:rsid w:val="003918E5"/>
    <w:rsid w:val="00391DEE"/>
    <w:rsid w:val="0039214E"/>
    <w:rsid w:val="00392B93"/>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A1D"/>
    <w:rsid w:val="003A3D4D"/>
    <w:rsid w:val="003A3DE2"/>
    <w:rsid w:val="003A4246"/>
    <w:rsid w:val="003A42C9"/>
    <w:rsid w:val="003A4446"/>
    <w:rsid w:val="003A4469"/>
    <w:rsid w:val="003A4670"/>
    <w:rsid w:val="003A4779"/>
    <w:rsid w:val="003A4A4E"/>
    <w:rsid w:val="003A4D3C"/>
    <w:rsid w:val="003A54D7"/>
    <w:rsid w:val="003A5CDA"/>
    <w:rsid w:val="003A5FEA"/>
    <w:rsid w:val="003A6356"/>
    <w:rsid w:val="003A674A"/>
    <w:rsid w:val="003A68EC"/>
    <w:rsid w:val="003A6FDE"/>
    <w:rsid w:val="003A7190"/>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16"/>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B51"/>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A6"/>
    <w:rsid w:val="003E07EC"/>
    <w:rsid w:val="003E090F"/>
    <w:rsid w:val="003E0986"/>
    <w:rsid w:val="003E0CC3"/>
    <w:rsid w:val="003E0D77"/>
    <w:rsid w:val="003E1373"/>
    <w:rsid w:val="003E13DF"/>
    <w:rsid w:val="003E1688"/>
    <w:rsid w:val="003E172C"/>
    <w:rsid w:val="003E17F1"/>
    <w:rsid w:val="003E1887"/>
    <w:rsid w:val="003E2E8C"/>
    <w:rsid w:val="003E2EDA"/>
    <w:rsid w:val="003E33FB"/>
    <w:rsid w:val="003E354D"/>
    <w:rsid w:val="003E37F5"/>
    <w:rsid w:val="003E3829"/>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7C"/>
    <w:rsid w:val="003F72E0"/>
    <w:rsid w:val="003F7789"/>
    <w:rsid w:val="003F7995"/>
    <w:rsid w:val="003F7C29"/>
    <w:rsid w:val="003F7DDF"/>
    <w:rsid w:val="003F7FEE"/>
    <w:rsid w:val="0040048A"/>
    <w:rsid w:val="00400603"/>
    <w:rsid w:val="00400AF0"/>
    <w:rsid w:val="00400D24"/>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78C"/>
    <w:rsid w:val="004059B7"/>
    <w:rsid w:val="00405C7F"/>
    <w:rsid w:val="00406179"/>
    <w:rsid w:val="004062E1"/>
    <w:rsid w:val="0040666C"/>
    <w:rsid w:val="004066B6"/>
    <w:rsid w:val="00407198"/>
    <w:rsid w:val="00407364"/>
    <w:rsid w:val="00407394"/>
    <w:rsid w:val="004075DC"/>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4D5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178"/>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2B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7A7"/>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7A"/>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E01"/>
    <w:rsid w:val="004A1FC5"/>
    <w:rsid w:val="004A21E9"/>
    <w:rsid w:val="004A2530"/>
    <w:rsid w:val="004A2AC1"/>
    <w:rsid w:val="004A2BB2"/>
    <w:rsid w:val="004A2D2F"/>
    <w:rsid w:val="004A2E5A"/>
    <w:rsid w:val="004A2FE3"/>
    <w:rsid w:val="004A30F0"/>
    <w:rsid w:val="004A311F"/>
    <w:rsid w:val="004A340F"/>
    <w:rsid w:val="004A35F1"/>
    <w:rsid w:val="004A396A"/>
    <w:rsid w:val="004A3C50"/>
    <w:rsid w:val="004A3C51"/>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A7F19"/>
    <w:rsid w:val="004B017C"/>
    <w:rsid w:val="004B0294"/>
    <w:rsid w:val="004B067B"/>
    <w:rsid w:val="004B082D"/>
    <w:rsid w:val="004B0C21"/>
    <w:rsid w:val="004B100A"/>
    <w:rsid w:val="004B17C0"/>
    <w:rsid w:val="004B1ACB"/>
    <w:rsid w:val="004B1F99"/>
    <w:rsid w:val="004B2418"/>
    <w:rsid w:val="004B246F"/>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578"/>
    <w:rsid w:val="004C06B8"/>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DA"/>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0FE"/>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0F8"/>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18C"/>
    <w:rsid w:val="00500961"/>
    <w:rsid w:val="00500EB0"/>
    <w:rsid w:val="00500F4A"/>
    <w:rsid w:val="0050147A"/>
    <w:rsid w:val="00501832"/>
    <w:rsid w:val="00501A05"/>
    <w:rsid w:val="00502238"/>
    <w:rsid w:val="00502369"/>
    <w:rsid w:val="00502917"/>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27"/>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A59"/>
    <w:rsid w:val="00534351"/>
    <w:rsid w:val="00534656"/>
    <w:rsid w:val="00534CAC"/>
    <w:rsid w:val="00534CC3"/>
    <w:rsid w:val="00534D2F"/>
    <w:rsid w:val="00534D96"/>
    <w:rsid w:val="00535083"/>
    <w:rsid w:val="0053509C"/>
    <w:rsid w:val="0053561D"/>
    <w:rsid w:val="00535832"/>
    <w:rsid w:val="005359D5"/>
    <w:rsid w:val="00535DB1"/>
    <w:rsid w:val="00535F77"/>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20A"/>
    <w:rsid w:val="005714C4"/>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7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82B"/>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B0F"/>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CB0"/>
    <w:rsid w:val="005D3E43"/>
    <w:rsid w:val="005D40C9"/>
    <w:rsid w:val="005D4990"/>
    <w:rsid w:val="005D4D5A"/>
    <w:rsid w:val="005D4E53"/>
    <w:rsid w:val="005D55AC"/>
    <w:rsid w:val="005D55CB"/>
    <w:rsid w:val="005D5892"/>
    <w:rsid w:val="005D5BD9"/>
    <w:rsid w:val="005D5C74"/>
    <w:rsid w:val="005D5FF5"/>
    <w:rsid w:val="005D6A0A"/>
    <w:rsid w:val="005D6A37"/>
    <w:rsid w:val="005D6B61"/>
    <w:rsid w:val="005D7606"/>
    <w:rsid w:val="005D7CC2"/>
    <w:rsid w:val="005E08FF"/>
    <w:rsid w:val="005E09B0"/>
    <w:rsid w:val="005E0B50"/>
    <w:rsid w:val="005E0F80"/>
    <w:rsid w:val="005E111A"/>
    <w:rsid w:val="005E16B1"/>
    <w:rsid w:val="005E16FF"/>
    <w:rsid w:val="005E1D1F"/>
    <w:rsid w:val="005E1DA9"/>
    <w:rsid w:val="005E2517"/>
    <w:rsid w:val="005E2685"/>
    <w:rsid w:val="005E299F"/>
    <w:rsid w:val="005E2A24"/>
    <w:rsid w:val="005E2D1D"/>
    <w:rsid w:val="005E31D9"/>
    <w:rsid w:val="005E35CB"/>
    <w:rsid w:val="005E36D0"/>
    <w:rsid w:val="005E3763"/>
    <w:rsid w:val="005E39A2"/>
    <w:rsid w:val="005E3CAA"/>
    <w:rsid w:val="005E3D8B"/>
    <w:rsid w:val="005E4024"/>
    <w:rsid w:val="005E413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B3"/>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1CA"/>
    <w:rsid w:val="006022DD"/>
    <w:rsid w:val="006024D6"/>
    <w:rsid w:val="0060264F"/>
    <w:rsid w:val="006028B3"/>
    <w:rsid w:val="00602A7A"/>
    <w:rsid w:val="00602A9E"/>
    <w:rsid w:val="00602AC2"/>
    <w:rsid w:val="00602AC6"/>
    <w:rsid w:val="00602DD5"/>
    <w:rsid w:val="00603632"/>
    <w:rsid w:val="006036EF"/>
    <w:rsid w:val="00603D81"/>
    <w:rsid w:val="00603FC3"/>
    <w:rsid w:val="0060403F"/>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216"/>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A66"/>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17"/>
    <w:rsid w:val="006172F0"/>
    <w:rsid w:val="00617961"/>
    <w:rsid w:val="00617E17"/>
    <w:rsid w:val="00617F16"/>
    <w:rsid w:val="006201AF"/>
    <w:rsid w:val="0062055B"/>
    <w:rsid w:val="0062071D"/>
    <w:rsid w:val="0062092C"/>
    <w:rsid w:val="00620FAC"/>
    <w:rsid w:val="00620FC0"/>
    <w:rsid w:val="00621040"/>
    <w:rsid w:val="006214C6"/>
    <w:rsid w:val="0062189F"/>
    <w:rsid w:val="00621B6F"/>
    <w:rsid w:val="00621BEE"/>
    <w:rsid w:val="00621C6F"/>
    <w:rsid w:val="00622244"/>
    <w:rsid w:val="00622391"/>
    <w:rsid w:val="006223A6"/>
    <w:rsid w:val="0062263C"/>
    <w:rsid w:val="00622823"/>
    <w:rsid w:val="0062296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5C24"/>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20A"/>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769A"/>
    <w:rsid w:val="00657BC5"/>
    <w:rsid w:val="00660000"/>
    <w:rsid w:val="00660112"/>
    <w:rsid w:val="0066020C"/>
    <w:rsid w:val="006608D5"/>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6AA"/>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50"/>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531"/>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773"/>
    <w:rsid w:val="006A6C18"/>
    <w:rsid w:val="006A6E37"/>
    <w:rsid w:val="006A70F2"/>
    <w:rsid w:val="006A7463"/>
    <w:rsid w:val="006A7508"/>
    <w:rsid w:val="006A759A"/>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4C3"/>
    <w:rsid w:val="006B555E"/>
    <w:rsid w:val="006B5AAD"/>
    <w:rsid w:val="006B5B12"/>
    <w:rsid w:val="006B5FCF"/>
    <w:rsid w:val="006B62D6"/>
    <w:rsid w:val="006B6406"/>
    <w:rsid w:val="006B6438"/>
    <w:rsid w:val="006B64DB"/>
    <w:rsid w:val="006B6634"/>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874"/>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2F7"/>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08"/>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BFE"/>
    <w:rsid w:val="00707C04"/>
    <w:rsid w:val="00707C13"/>
    <w:rsid w:val="00707D6D"/>
    <w:rsid w:val="0071045B"/>
    <w:rsid w:val="00710559"/>
    <w:rsid w:val="00710562"/>
    <w:rsid w:val="007105C8"/>
    <w:rsid w:val="00710691"/>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A93"/>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325"/>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B1F"/>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06"/>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B12"/>
    <w:rsid w:val="00755C16"/>
    <w:rsid w:val="00755E2D"/>
    <w:rsid w:val="0075603E"/>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573"/>
    <w:rsid w:val="0076057F"/>
    <w:rsid w:val="00760589"/>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35A"/>
    <w:rsid w:val="007847D8"/>
    <w:rsid w:val="00784896"/>
    <w:rsid w:val="00784BEF"/>
    <w:rsid w:val="00784C90"/>
    <w:rsid w:val="00784EB5"/>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E5F"/>
    <w:rsid w:val="007B4F25"/>
    <w:rsid w:val="007B4F65"/>
    <w:rsid w:val="007B4F7F"/>
    <w:rsid w:val="007B5024"/>
    <w:rsid w:val="007B5073"/>
    <w:rsid w:val="007B5389"/>
    <w:rsid w:val="007B5403"/>
    <w:rsid w:val="007B5437"/>
    <w:rsid w:val="007B5E4C"/>
    <w:rsid w:val="007B6583"/>
    <w:rsid w:val="007B6B9A"/>
    <w:rsid w:val="007B7102"/>
    <w:rsid w:val="007B75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9FB"/>
    <w:rsid w:val="007C3C4D"/>
    <w:rsid w:val="007C3F4C"/>
    <w:rsid w:val="007C4053"/>
    <w:rsid w:val="007C4057"/>
    <w:rsid w:val="007C4201"/>
    <w:rsid w:val="007C4AA4"/>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66"/>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B7A"/>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C05"/>
    <w:rsid w:val="007F3D81"/>
    <w:rsid w:val="007F3DE8"/>
    <w:rsid w:val="007F3F96"/>
    <w:rsid w:val="007F417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3E4"/>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C8E"/>
    <w:rsid w:val="00817EB9"/>
    <w:rsid w:val="00817EFC"/>
    <w:rsid w:val="00817FCE"/>
    <w:rsid w:val="00820315"/>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4A1"/>
    <w:rsid w:val="00831674"/>
    <w:rsid w:val="00831FE4"/>
    <w:rsid w:val="00832197"/>
    <w:rsid w:val="008322AA"/>
    <w:rsid w:val="008324D0"/>
    <w:rsid w:val="00832BF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3F"/>
    <w:rsid w:val="00851413"/>
    <w:rsid w:val="0085145F"/>
    <w:rsid w:val="008519F1"/>
    <w:rsid w:val="00851A29"/>
    <w:rsid w:val="00851D0E"/>
    <w:rsid w:val="00851EA1"/>
    <w:rsid w:val="0085238D"/>
    <w:rsid w:val="00852395"/>
    <w:rsid w:val="008525B3"/>
    <w:rsid w:val="0085275D"/>
    <w:rsid w:val="00852A96"/>
    <w:rsid w:val="00852B7A"/>
    <w:rsid w:val="00852D51"/>
    <w:rsid w:val="00852DD0"/>
    <w:rsid w:val="00853049"/>
    <w:rsid w:val="00853173"/>
    <w:rsid w:val="0085331D"/>
    <w:rsid w:val="00853320"/>
    <w:rsid w:val="0085332A"/>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47E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6D15"/>
    <w:rsid w:val="008770F5"/>
    <w:rsid w:val="00877275"/>
    <w:rsid w:val="0087731A"/>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B4"/>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1F46"/>
    <w:rsid w:val="008A2153"/>
    <w:rsid w:val="008A21B4"/>
    <w:rsid w:val="008A223E"/>
    <w:rsid w:val="008A2303"/>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32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0D"/>
    <w:rsid w:val="008B4987"/>
    <w:rsid w:val="008B49F4"/>
    <w:rsid w:val="008B4A69"/>
    <w:rsid w:val="008B4C01"/>
    <w:rsid w:val="008B4C55"/>
    <w:rsid w:val="008B4D3E"/>
    <w:rsid w:val="008B4D69"/>
    <w:rsid w:val="008B4D9D"/>
    <w:rsid w:val="008B538E"/>
    <w:rsid w:val="008B567C"/>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83D"/>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37E6B"/>
    <w:rsid w:val="009403BD"/>
    <w:rsid w:val="009403C4"/>
    <w:rsid w:val="009406B9"/>
    <w:rsid w:val="00940CA3"/>
    <w:rsid w:val="00940D71"/>
    <w:rsid w:val="00940DC6"/>
    <w:rsid w:val="009411A4"/>
    <w:rsid w:val="00941348"/>
    <w:rsid w:val="00941687"/>
    <w:rsid w:val="00941C46"/>
    <w:rsid w:val="00941D46"/>
    <w:rsid w:val="00942255"/>
    <w:rsid w:val="0094226E"/>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F6C"/>
    <w:rsid w:val="00960248"/>
    <w:rsid w:val="00960991"/>
    <w:rsid w:val="00960AC5"/>
    <w:rsid w:val="00960B06"/>
    <w:rsid w:val="00960D7B"/>
    <w:rsid w:val="00960DCC"/>
    <w:rsid w:val="0096182F"/>
    <w:rsid w:val="0096197A"/>
    <w:rsid w:val="00961D1B"/>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97A"/>
    <w:rsid w:val="00971C6E"/>
    <w:rsid w:val="00972A19"/>
    <w:rsid w:val="009732AD"/>
    <w:rsid w:val="0097350D"/>
    <w:rsid w:val="009735C5"/>
    <w:rsid w:val="0097374F"/>
    <w:rsid w:val="00973956"/>
    <w:rsid w:val="00973BCD"/>
    <w:rsid w:val="00973D0A"/>
    <w:rsid w:val="00973D9A"/>
    <w:rsid w:val="00973E18"/>
    <w:rsid w:val="00973F7F"/>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412"/>
    <w:rsid w:val="00984578"/>
    <w:rsid w:val="009846AF"/>
    <w:rsid w:val="0098487E"/>
    <w:rsid w:val="00984AED"/>
    <w:rsid w:val="00984C3F"/>
    <w:rsid w:val="00984E6C"/>
    <w:rsid w:val="00984F91"/>
    <w:rsid w:val="00985174"/>
    <w:rsid w:val="0098535F"/>
    <w:rsid w:val="009856A4"/>
    <w:rsid w:val="0098571A"/>
    <w:rsid w:val="0098586F"/>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88"/>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F6"/>
    <w:rsid w:val="009D2C3A"/>
    <w:rsid w:val="009D3FC1"/>
    <w:rsid w:val="009D40FB"/>
    <w:rsid w:val="009D4670"/>
    <w:rsid w:val="009D504E"/>
    <w:rsid w:val="009D5097"/>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8B4"/>
    <w:rsid w:val="009E69A9"/>
    <w:rsid w:val="009E6E98"/>
    <w:rsid w:val="009E6E9B"/>
    <w:rsid w:val="009E7007"/>
    <w:rsid w:val="009E7468"/>
    <w:rsid w:val="009E7506"/>
    <w:rsid w:val="009E75EC"/>
    <w:rsid w:val="009E792E"/>
    <w:rsid w:val="009E7F1B"/>
    <w:rsid w:val="009F062A"/>
    <w:rsid w:val="009F0BDB"/>
    <w:rsid w:val="009F1250"/>
    <w:rsid w:val="009F152B"/>
    <w:rsid w:val="009F1726"/>
    <w:rsid w:val="009F18D2"/>
    <w:rsid w:val="009F1990"/>
    <w:rsid w:val="009F1D93"/>
    <w:rsid w:val="009F1F63"/>
    <w:rsid w:val="009F220E"/>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607"/>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715"/>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BE"/>
    <w:rsid w:val="00A2601A"/>
    <w:rsid w:val="00A261CE"/>
    <w:rsid w:val="00A262F2"/>
    <w:rsid w:val="00A2648E"/>
    <w:rsid w:val="00A265E1"/>
    <w:rsid w:val="00A26718"/>
    <w:rsid w:val="00A26846"/>
    <w:rsid w:val="00A26892"/>
    <w:rsid w:val="00A268DA"/>
    <w:rsid w:val="00A26F1D"/>
    <w:rsid w:val="00A274B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12"/>
    <w:rsid w:val="00A349A1"/>
    <w:rsid w:val="00A349BF"/>
    <w:rsid w:val="00A34CBF"/>
    <w:rsid w:val="00A352F1"/>
    <w:rsid w:val="00A3563E"/>
    <w:rsid w:val="00A35647"/>
    <w:rsid w:val="00A35EBF"/>
    <w:rsid w:val="00A3607A"/>
    <w:rsid w:val="00A3625B"/>
    <w:rsid w:val="00A36F3B"/>
    <w:rsid w:val="00A378CB"/>
    <w:rsid w:val="00A37B17"/>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22A"/>
    <w:rsid w:val="00A5778E"/>
    <w:rsid w:val="00A6003E"/>
    <w:rsid w:val="00A6045E"/>
    <w:rsid w:val="00A61839"/>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4F2"/>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4DEB"/>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428"/>
    <w:rsid w:val="00AA18C0"/>
    <w:rsid w:val="00AA1C83"/>
    <w:rsid w:val="00AA1DF8"/>
    <w:rsid w:val="00AA1F43"/>
    <w:rsid w:val="00AA2114"/>
    <w:rsid w:val="00AA2317"/>
    <w:rsid w:val="00AA26E2"/>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61D"/>
    <w:rsid w:val="00AB5794"/>
    <w:rsid w:val="00AB5E67"/>
    <w:rsid w:val="00AB63E9"/>
    <w:rsid w:val="00AB65D2"/>
    <w:rsid w:val="00AB6B48"/>
    <w:rsid w:val="00AB6BF1"/>
    <w:rsid w:val="00AB6C80"/>
    <w:rsid w:val="00AB6F76"/>
    <w:rsid w:val="00AB7697"/>
    <w:rsid w:val="00AB77A7"/>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1CF"/>
    <w:rsid w:val="00AC438F"/>
    <w:rsid w:val="00AC4FD6"/>
    <w:rsid w:val="00AC563B"/>
    <w:rsid w:val="00AC5D2C"/>
    <w:rsid w:val="00AC60FC"/>
    <w:rsid w:val="00AC65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2F3"/>
    <w:rsid w:val="00AD744A"/>
    <w:rsid w:val="00AD7AFD"/>
    <w:rsid w:val="00AD7DF4"/>
    <w:rsid w:val="00AE0412"/>
    <w:rsid w:val="00AE047E"/>
    <w:rsid w:val="00AE0492"/>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824"/>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93"/>
    <w:rsid w:val="00B067CA"/>
    <w:rsid w:val="00B068BB"/>
    <w:rsid w:val="00B06AC6"/>
    <w:rsid w:val="00B06C94"/>
    <w:rsid w:val="00B06D6D"/>
    <w:rsid w:val="00B06D95"/>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35"/>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636"/>
    <w:rsid w:val="00B14797"/>
    <w:rsid w:val="00B14C55"/>
    <w:rsid w:val="00B1525D"/>
    <w:rsid w:val="00B154A2"/>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9BD"/>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BE"/>
    <w:rsid w:val="00B82322"/>
    <w:rsid w:val="00B8241C"/>
    <w:rsid w:val="00B826C4"/>
    <w:rsid w:val="00B8290A"/>
    <w:rsid w:val="00B8297A"/>
    <w:rsid w:val="00B82983"/>
    <w:rsid w:val="00B82CF4"/>
    <w:rsid w:val="00B83247"/>
    <w:rsid w:val="00B83445"/>
    <w:rsid w:val="00B83536"/>
    <w:rsid w:val="00B841BD"/>
    <w:rsid w:val="00B84287"/>
    <w:rsid w:val="00B84308"/>
    <w:rsid w:val="00B8431F"/>
    <w:rsid w:val="00B845C8"/>
    <w:rsid w:val="00B84727"/>
    <w:rsid w:val="00B84A60"/>
    <w:rsid w:val="00B84A69"/>
    <w:rsid w:val="00B84EAC"/>
    <w:rsid w:val="00B850AD"/>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DD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1780"/>
    <w:rsid w:val="00BC194E"/>
    <w:rsid w:val="00BC20C3"/>
    <w:rsid w:val="00BC21DD"/>
    <w:rsid w:val="00BC292B"/>
    <w:rsid w:val="00BC2D84"/>
    <w:rsid w:val="00BC30B7"/>
    <w:rsid w:val="00BC30BA"/>
    <w:rsid w:val="00BC3587"/>
    <w:rsid w:val="00BC370F"/>
    <w:rsid w:val="00BC39E8"/>
    <w:rsid w:val="00BC41A0"/>
    <w:rsid w:val="00BC4424"/>
    <w:rsid w:val="00BC495A"/>
    <w:rsid w:val="00BC5416"/>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A2B"/>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CC"/>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C2B"/>
    <w:rsid w:val="00BF037B"/>
    <w:rsid w:val="00BF0439"/>
    <w:rsid w:val="00BF0519"/>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BD9"/>
    <w:rsid w:val="00C06C8B"/>
    <w:rsid w:val="00C06E26"/>
    <w:rsid w:val="00C074A7"/>
    <w:rsid w:val="00C07711"/>
    <w:rsid w:val="00C07760"/>
    <w:rsid w:val="00C07952"/>
    <w:rsid w:val="00C0796B"/>
    <w:rsid w:val="00C07B9E"/>
    <w:rsid w:val="00C07D05"/>
    <w:rsid w:val="00C07E5F"/>
    <w:rsid w:val="00C07FD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0A"/>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D2B"/>
    <w:rsid w:val="00C2708F"/>
    <w:rsid w:val="00C27242"/>
    <w:rsid w:val="00C27BED"/>
    <w:rsid w:val="00C27CF0"/>
    <w:rsid w:val="00C3015E"/>
    <w:rsid w:val="00C303AB"/>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B40"/>
    <w:rsid w:val="00C50C38"/>
    <w:rsid w:val="00C50FA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AEB"/>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4F5"/>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4EC"/>
    <w:rsid w:val="00CC051C"/>
    <w:rsid w:val="00CC07C9"/>
    <w:rsid w:val="00CC0B1A"/>
    <w:rsid w:val="00CC1090"/>
    <w:rsid w:val="00CC17B9"/>
    <w:rsid w:val="00CC1852"/>
    <w:rsid w:val="00CC1949"/>
    <w:rsid w:val="00CC1B85"/>
    <w:rsid w:val="00CC1C6C"/>
    <w:rsid w:val="00CC1E68"/>
    <w:rsid w:val="00CC2134"/>
    <w:rsid w:val="00CC2565"/>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13C"/>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0CB"/>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6A6"/>
    <w:rsid w:val="00CF5988"/>
    <w:rsid w:val="00CF5A41"/>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0F78"/>
    <w:rsid w:val="00D01829"/>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CE6"/>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0D3"/>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A60"/>
    <w:rsid w:val="00D70D36"/>
    <w:rsid w:val="00D70F1B"/>
    <w:rsid w:val="00D713CE"/>
    <w:rsid w:val="00D71407"/>
    <w:rsid w:val="00D71778"/>
    <w:rsid w:val="00D71BAA"/>
    <w:rsid w:val="00D71E12"/>
    <w:rsid w:val="00D721D0"/>
    <w:rsid w:val="00D7235A"/>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3053"/>
    <w:rsid w:val="00D930C2"/>
    <w:rsid w:val="00D931AD"/>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C10"/>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46C"/>
    <w:rsid w:val="00DB67D6"/>
    <w:rsid w:val="00DB6859"/>
    <w:rsid w:val="00DB6D3B"/>
    <w:rsid w:val="00DB6E52"/>
    <w:rsid w:val="00DB7804"/>
    <w:rsid w:val="00DB782C"/>
    <w:rsid w:val="00DC0203"/>
    <w:rsid w:val="00DC0591"/>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D7D60"/>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CB7"/>
    <w:rsid w:val="00DE7D68"/>
    <w:rsid w:val="00DE7F41"/>
    <w:rsid w:val="00DF0177"/>
    <w:rsid w:val="00DF01C9"/>
    <w:rsid w:val="00DF05EE"/>
    <w:rsid w:val="00DF07BA"/>
    <w:rsid w:val="00DF0DAD"/>
    <w:rsid w:val="00DF0ED6"/>
    <w:rsid w:val="00DF125B"/>
    <w:rsid w:val="00DF1E0E"/>
    <w:rsid w:val="00DF23A2"/>
    <w:rsid w:val="00DF26C2"/>
    <w:rsid w:val="00DF2A15"/>
    <w:rsid w:val="00DF3246"/>
    <w:rsid w:val="00DF35E5"/>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4A"/>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D11"/>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520"/>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08A"/>
    <w:rsid w:val="00E152CE"/>
    <w:rsid w:val="00E15306"/>
    <w:rsid w:val="00E15406"/>
    <w:rsid w:val="00E1546F"/>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4E"/>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2D2"/>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C5E"/>
    <w:rsid w:val="00E54A05"/>
    <w:rsid w:val="00E54A2C"/>
    <w:rsid w:val="00E54DFA"/>
    <w:rsid w:val="00E54EB8"/>
    <w:rsid w:val="00E55A67"/>
    <w:rsid w:val="00E55E30"/>
    <w:rsid w:val="00E5637C"/>
    <w:rsid w:val="00E5668F"/>
    <w:rsid w:val="00E5676E"/>
    <w:rsid w:val="00E56829"/>
    <w:rsid w:val="00E56887"/>
    <w:rsid w:val="00E56CC7"/>
    <w:rsid w:val="00E56F01"/>
    <w:rsid w:val="00E574AE"/>
    <w:rsid w:val="00E576A0"/>
    <w:rsid w:val="00E5776B"/>
    <w:rsid w:val="00E57EE5"/>
    <w:rsid w:val="00E603F7"/>
    <w:rsid w:val="00E60834"/>
    <w:rsid w:val="00E6097B"/>
    <w:rsid w:val="00E609E0"/>
    <w:rsid w:val="00E60C1A"/>
    <w:rsid w:val="00E60FDE"/>
    <w:rsid w:val="00E61EF5"/>
    <w:rsid w:val="00E61F27"/>
    <w:rsid w:val="00E622C2"/>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72"/>
    <w:rsid w:val="00E758C3"/>
    <w:rsid w:val="00E76301"/>
    <w:rsid w:val="00E7638C"/>
    <w:rsid w:val="00E764CD"/>
    <w:rsid w:val="00E76CF3"/>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94"/>
    <w:rsid w:val="00E91D6D"/>
    <w:rsid w:val="00E91E92"/>
    <w:rsid w:val="00E92336"/>
    <w:rsid w:val="00E9237D"/>
    <w:rsid w:val="00E92FFD"/>
    <w:rsid w:val="00E93012"/>
    <w:rsid w:val="00E930A6"/>
    <w:rsid w:val="00E9314E"/>
    <w:rsid w:val="00E934FE"/>
    <w:rsid w:val="00E93579"/>
    <w:rsid w:val="00E93675"/>
    <w:rsid w:val="00E93848"/>
    <w:rsid w:val="00E938B1"/>
    <w:rsid w:val="00E93E0A"/>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236"/>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781"/>
    <w:rsid w:val="00EF2828"/>
    <w:rsid w:val="00EF295D"/>
    <w:rsid w:val="00EF29A6"/>
    <w:rsid w:val="00EF2B06"/>
    <w:rsid w:val="00EF34CB"/>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A26"/>
    <w:rsid w:val="00F03B2E"/>
    <w:rsid w:val="00F03CEE"/>
    <w:rsid w:val="00F03D5C"/>
    <w:rsid w:val="00F03EDD"/>
    <w:rsid w:val="00F047D7"/>
    <w:rsid w:val="00F04A47"/>
    <w:rsid w:val="00F04D5D"/>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1DCD"/>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D76"/>
    <w:rsid w:val="00F26E03"/>
    <w:rsid w:val="00F277EA"/>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16C"/>
    <w:rsid w:val="00F32B3C"/>
    <w:rsid w:val="00F32B3F"/>
    <w:rsid w:val="00F32BFB"/>
    <w:rsid w:val="00F32D32"/>
    <w:rsid w:val="00F33707"/>
    <w:rsid w:val="00F3391C"/>
    <w:rsid w:val="00F33A35"/>
    <w:rsid w:val="00F33AFF"/>
    <w:rsid w:val="00F33B44"/>
    <w:rsid w:val="00F33CA0"/>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5B6"/>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3D"/>
    <w:rsid w:val="00F46C88"/>
    <w:rsid w:val="00F4703A"/>
    <w:rsid w:val="00F471C9"/>
    <w:rsid w:val="00F478D0"/>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DAE"/>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15"/>
    <w:rsid w:val="00F82B8E"/>
    <w:rsid w:val="00F82E64"/>
    <w:rsid w:val="00F82FBC"/>
    <w:rsid w:val="00F830AB"/>
    <w:rsid w:val="00F8330C"/>
    <w:rsid w:val="00F83310"/>
    <w:rsid w:val="00F83733"/>
    <w:rsid w:val="00F83877"/>
    <w:rsid w:val="00F83A0E"/>
    <w:rsid w:val="00F83C09"/>
    <w:rsid w:val="00F83DB8"/>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46A7"/>
    <w:rsid w:val="00FD4D09"/>
    <w:rsid w:val="00FD4F87"/>
    <w:rsid w:val="00FD4FFB"/>
    <w:rsid w:val="00FD51AA"/>
    <w:rsid w:val="00FD5667"/>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61B"/>
    <w:rsid w:val="00FE4908"/>
    <w:rsid w:val="00FE499C"/>
    <w:rsid w:val="00FE4AC6"/>
    <w:rsid w:val="00FE4DA3"/>
    <w:rsid w:val="00FE4DE0"/>
    <w:rsid w:val="00FE546A"/>
    <w:rsid w:val="00FE57F3"/>
    <w:rsid w:val="00FE587C"/>
    <w:rsid w:val="00FE5AB0"/>
    <w:rsid w:val="00FE5B9E"/>
    <w:rsid w:val="00FE5F6A"/>
    <w:rsid w:val="00FE64F0"/>
    <w:rsid w:val="00FE6835"/>
    <w:rsid w:val="00FE6980"/>
    <w:rsid w:val="00FE69E5"/>
    <w:rsid w:val="00FE6C84"/>
    <w:rsid w:val="00FE709E"/>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7D6"/>
    <w:rsid w:val="00FF782C"/>
    <w:rsid w:val="00FF7A52"/>
    <w:rsid w:val="00FF7B17"/>
    <w:rsid w:val="00FF7D3B"/>
    <w:rsid w:val="00FF7EBA"/>
    <w:rsid w:val="00FF7F31"/>
    <w:rsid w:val="00FF7FBD"/>
    <w:rsid w:val="039E2FA2"/>
    <w:rsid w:val="054C01A3"/>
    <w:rsid w:val="0B680234"/>
    <w:rsid w:val="14CF0ABE"/>
    <w:rsid w:val="16C12793"/>
    <w:rsid w:val="1CA63FE0"/>
    <w:rsid w:val="1D297DFE"/>
    <w:rsid w:val="2BFC24BE"/>
    <w:rsid w:val="2F1644D8"/>
    <w:rsid w:val="45DC3D70"/>
    <w:rsid w:val="4EA125D2"/>
    <w:rsid w:val="5FE637CF"/>
    <w:rsid w:val="662137BC"/>
    <w:rsid w:val="6D8C0A0B"/>
    <w:rsid w:val="6DFF77A2"/>
    <w:rsid w:val="6F576B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C023E"/>
  <w15:docId w15:val="{7BA34CE0-9B63-4C7C-A882-0B9E2081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4" w:semiHidden="1" w:unhideWhenUsed="1"/>
    <w:lsdException w:name="List Number 5" w:semiHidden="1" w:unhideWhenUsed="1"/>
    <w:lsdException w:name="Title"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1A0"/>
    <w:rPr>
      <w:rFonts w:ascii="Times New Roman" w:eastAsia="MS Gothic" w:hAnsi="Times New Roman"/>
      <w:sz w:val="24"/>
      <w:lang w:val="en-GB"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NoteHeading">
    <w:name w:val="Note Heading"/>
    <w:basedOn w:val="Normal"/>
    <w:next w:val="Normal"/>
    <w:link w:val="NoteHeadingChar"/>
    <w:pPr>
      <w:jc w:val="center"/>
    </w:pPr>
    <w:rPr>
      <w:b/>
      <w:color w:val="FF0000"/>
      <w:szCs w:val="21"/>
      <w:lang w:val="en-US"/>
    </w:rPr>
  </w:style>
  <w:style w:type="paragraph" w:styleId="Caption">
    <w:name w:val="caption"/>
    <w:basedOn w:val="Normal"/>
    <w:next w:val="Normal"/>
    <w:qFormat/>
    <w:pPr>
      <w:spacing w:before="120" w:after="120"/>
    </w:pPr>
    <w:rPr>
      <w:b/>
    </w:rPr>
  </w:style>
  <w:style w:type="paragraph" w:styleId="ListBullet">
    <w:name w:val="List Bullet"/>
    <w:basedOn w:val="Normal"/>
    <w:qFormat/>
    <w:pPr>
      <w:tabs>
        <w:tab w:val="left" w:pos="360"/>
      </w:tabs>
      <w:ind w:left="360" w:hanging="360"/>
    </w:p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qFormat/>
    <w:pPr>
      <w:jc w:val="both"/>
    </w:pPr>
  </w:style>
  <w:style w:type="paragraph" w:styleId="Closing">
    <w:name w:val="Closing"/>
    <w:basedOn w:val="Normal"/>
    <w:link w:val="ClosingChar"/>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qFormat/>
    <w:pPr>
      <w:ind w:left="360"/>
    </w:pPr>
  </w:style>
  <w:style w:type="paragraph" w:styleId="ListNumber3">
    <w:name w:val="List Number 3"/>
    <w:basedOn w:val="Normal"/>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pPr>
      <w:ind w:left="851"/>
    </w:pPr>
  </w:style>
  <w:style w:type="paragraph" w:styleId="List">
    <w:name w:val="List"/>
    <w:basedOn w:val="Normal"/>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TOC8">
    <w:name w:val="toc 8"/>
    <w:basedOn w:val="TOC1"/>
    <w:next w:val="Normal"/>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Pr>
      <w:rFonts w:ascii="Arial" w:hAnsi="Arial"/>
      <w:sz w:val="18"/>
    </w:rPr>
  </w:style>
  <w:style w:type="paragraph" w:styleId="Footer">
    <w:name w:val="footer"/>
    <w:basedOn w:val="Normal"/>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lang w:eastAsia="zh-CN"/>
    </w:rPr>
  </w:style>
  <w:style w:type="paragraph" w:styleId="FootnoteText">
    <w:name w:val="footnote text"/>
    <w:basedOn w:val="Normal"/>
    <w:semiHidden/>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TOC2">
    <w:name w:val="toc 2"/>
    <w:basedOn w:val="TOC1"/>
    <w:next w:val="Normal"/>
    <w:uiPriority w:val="39"/>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uiPriority w:val="20"/>
    <w:qFormat/>
    <w:rPr>
      <w:i/>
      <w:iCs/>
    </w:rPr>
  </w:style>
  <w:style w:type="character" w:styleId="Hyperlink">
    <w:name w:val="Hyperlink"/>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semiHidden/>
    <w:rPr>
      <w:rFonts w:eastAsia="Times New Roman"/>
      <w:b/>
      <w:kern w:val="2"/>
      <w:position w:val="6"/>
      <w:sz w:val="16"/>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rPr>
      <w:rFonts w:ascii="Times New Roman" w:eastAsia="MS Gothic" w:hAnsi="Times New Roman"/>
      <w:sz w:val="24"/>
      <w:lang w:val="en-GB" w:eastAsia="ja-JP"/>
    </w:rPr>
  </w:style>
  <w:style w:type="paragraph" w:customStyle="1" w:styleId="1">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rPr>
      <w:rFonts w:ascii="Times New Roman" w:eastAsia="MS Gothic" w:hAnsi="Times New Roman"/>
      <w:b/>
      <w:color w:val="FF0000"/>
      <w:sz w:val="24"/>
      <w:szCs w:val="21"/>
    </w:rPr>
  </w:style>
  <w:style w:type="character" w:customStyle="1" w:styleId="ClosingChar">
    <w:name w:val="Closing Char"/>
    <w:basedOn w:val="DefaultParagraphFont"/>
    <w:link w:val="Closing"/>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B3Char">
    <w:name w:val="B3 Char"/>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ProposalChar">
    <w:name w:val="Proposal Char"/>
    <w:basedOn w:val="DefaultParagraphFont"/>
    <w:link w:val="Proposal"/>
    <w:rPr>
      <w:rFonts w:ascii="Arial" w:eastAsiaTheme="minorEastAsia" w:hAnsi="Arial" w:cstheme="minorBidi"/>
      <w:b/>
      <w:bCs/>
      <w:kern w:val="2"/>
      <w:sz w:val="21"/>
      <w:szCs w:val="22"/>
      <w:lang w:eastAsia="zh-CN"/>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Heading2Char">
    <w:name w:val="Heading 2 Char"/>
    <w:basedOn w:val="DefaultParagraphFont"/>
    <w:link w:val="Heading2"/>
    <w:qFormat/>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25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5AIRPNAIUNRU-1830940522-12256</_dlc_DocId>
    <_dlc_DocIdUrl xmlns="71c5aaf6-e6ce-465b-b873-5148d2a4c105">
      <Url>https://nokia.sharepoint.com/sites/c5g/5gradio/_layouts/15/DocIdRedir.aspx?ID=5AIRPNAIUNRU-1830940522-12256</Url>
      <Description>5AIRPNAIUNRU-1830940522-12256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8DD4DECE-2356-4A32-8BF4-5413999F0862}">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6.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B55B5F6-173C-4A4F-904E-C87695BF9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512</Words>
  <Characters>2924</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Tao Chen (陈滔)</cp:lastModifiedBy>
  <cp:revision>12</cp:revision>
  <cp:lastPrinted>2017-08-09T04:40:00Z</cp:lastPrinted>
  <dcterms:created xsi:type="dcterms:W3CDTF">2021-11-03T08:11:00Z</dcterms:created>
  <dcterms:modified xsi:type="dcterms:W3CDTF">2022-01-11T13:18:00Z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8c6421e8-dd03-4145-9d1c-5b4f6c49bda9</vt:lpwstr>
  </property>
</Properties>
</file>